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D3" w:rsidRDefault="004166D3" w:rsidP="004166D3">
      <w:pPr>
        <w:pStyle w:val="ConsPlusNormal"/>
        <w:jc w:val="both"/>
        <w:outlineLvl w:val="0"/>
      </w:pPr>
    </w:p>
    <w:p w:rsidR="004166D3" w:rsidRDefault="004166D3" w:rsidP="004166D3">
      <w:pPr>
        <w:pStyle w:val="ConsPlusTitle"/>
        <w:jc w:val="center"/>
      </w:pPr>
      <w:r>
        <w:t>ОРГАНИЗАЦИЯ ОБЪЕДИНЕННЫХ НАЦИЙ</w:t>
      </w:r>
    </w:p>
    <w:p w:rsidR="004166D3" w:rsidRDefault="004166D3" w:rsidP="004166D3">
      <w:pPr>
        <w:pStyle w:val="ConsPlusTitle"/>
        <w:jc w:val="center"/>
      </w:pPr>
      <w:r>
        <w:t>ПО ВОПРОСАМ ОБРАЗОВАНИЯ, НАУКИ И КУЛЬТУРЫ</w:t>
      </w:r>
    </w:p>
    <w:p w:rsidR="004166D3" w:rsidRDefault="004166D3" w:rsidP="004166D3">
      <w:pPr>
        <w:pStyle w:val="ConsPlusTitle"/>
        <w:jc w:val="center"/>
      </w:pPr>
    </w:p>
    <w:p w:rsidR="004166D3" w:rsidRDefault="004166D3" w:rsidP="004166D3">
      <w:pPr>
        <w:pStyle w:val="ConsPlusTitle"/>
        <w:jc w:val="center"/>
      </w:pPr>
      <w:r>
        <w:t>КОНВЕНЦИЯ</w:t>
      </w:r>
    </w:p>
    <w:p w:rsidR="004166D3" w:rsidRDefault="004166D3" w:rsidP="004166D3">
      <w:pPr>
        <w:pStyle w:val="ConsPlusTitle"/>
        <w:jc w:val="center"/>
      </w:pPr>
      <w:r>
        <w:t>О ТЕХНИЧЕСКОМ И ПРОФЕССИОНАЛЬНОМ ОБРАЗОВАНИИ</w:t>
      </w:r>
    </w:p>
    <w:p w:rsidR="004166D3" w:rsidRDefault="004166D3" w:rsidP="004166D3">
      <w:pPr>
        <w:pStyle w:val="ConsPlusTitle"/>
        <w:jc w:val="center"/>
      </w:pPr>
    </w:p>
    <w:p w:rsidR="004166D3" w:rsidRDefault="004166D3" w:rsidP="004166D3">
      <w:pPr>
        <w:pStyle w:val="ConsPlusTitle"/>
        <w:jc w:val="center"/>
      </w:pPr>
      <w:r>
        <w:t>(Париж, 10 ноября 1989 года)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6D3" w:rsidRDefault="004166D3" w:rsidP="004166D3">
      <w:pPr>
        <w:pStyle w:val="ConsPlusNormal"/>
        <w:ind w:firstLine="540"/>
        <w:jc w:val="both"/>
      </w:pPr>
      <w:r>
        <w:t xml:space="preserve">См. </w:t>
      </w:r>
      <w:hyperlink r:id="rId4" w:tooltip="&lt;Статус Конвенции о техническом и профессиональном образовании (Париж, 10 ноября 1989 года)&gt; [рус., англ.]{КонсультантПлюс}" w:history="1">
        <w:r>
          <w:rPr>
            <w:color w:val="0000FF"/>
          </w:rPr>
          <w:t>Статус</w:t>
        </w:r>
      </w:hyperlink>
      <w:r>
        <w:t xml:space="preserve"> данного документа.</w:t>
      </w:r>
    </w:p>
    <w:p w:rsidR="004166D3" w:rsidRDefault="004166D3" w:rsidP="00416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6D3" w:rsidRDefault="004166D3" w:rsidP="004166D3">
      <w:pPr>
        <w:pStyle w:val="ConsPlusNormal"/>
        <w:jc w:val="center"/>
        <w:outlineLvl w:val="0"/>
      </w:pPr>
      <w:r>
        <w:t>Преамбула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>Генеральная конференция Организации Объединенных Наций по вопросам образования, науки и культуры, собравшаяся в Париже с 17 октября по 16 ноября 1989 г. на свою двадцать пятую сессию,</w:t>
      </w:r>
    </w:p>
    <w:p w:rsidR="004166D3" w:rsidRDefault="004166D3" w:rsidP="004166D3">
      <w:pPr>
        <w:pStyle w:val="ConsPlusNormal"/>
        <w:ind w:firstLine="540"/>
        <w:jc w:val="both"/>
      </w:pPr>
      <w:r>
        <w:t xml:space="preserve">напоминая, что в соответствии с </w:t>
      </w:r>
      <w:hyperlink r:id="rId5" w:tooltip="&quot;Устав Организации Объединенных Наций по вопросам образования, науки и культуры&quot; (Вместе с &quot;Докладами государств - членов о мерах по выполнению ими конвенций и рекомендаций&quot;) (Принят в г. Лондоне 16.11.1945){КонсультантПлюс}" w:history="1">
        <w:r>
          <w:rPr>
            <w:color w:val="0000FF"/>
          </w:rPr>
          <w:t>Уставом</w:t>
        </w:r>
      </w:hyperlink>
      <w:r>
        <w:t xml:space="preserve"> Организация имеет своим долгом поощрять и развивать образование,</w:t>
      </w:r>
    </w:p>
    <w:p w:rsidR="004166D3" w:rsidRDefault="004166D3" w:rsidP="004166D3">
      <w:pPr>
        <w:pStyle w:val="ConsPlusNormal"/>
        <w:ind w:firstLine="540"/>
        <w:jc w:val="both"/>
      </w:pPr>
      <w:r>
        <w:t xml:space="preserve">напоминая также о принципах, изложенных в </w:t>
      </w:r>
      <w:hyperlink r:id="rId6" w:tooltip="&quot;Всеобщая декларация прав человека&quot; (Принята 10.12.1948 Генеральной Ассамблеей ООН){КонсультантПлюс}" w:history="1">
        <w:r>
          <w:rPr>
            <w:color w:val="0000FF"/>
          </w:rPr>
          <w:t>статьях 23</w:t>
        </w:r>
      </w:hyperlink>
      <w:r>
        <w:t xml:space="preserve"> и </w:t>
      </w:r>
      <w:hyperlink r:id="rId7" w:tooltip="&quot;Всеобщая декларация прав человека&quot; (Принята 10.12.1948 Генеральной Ассамблеей ООН){КонсультантПлюс}" w:history="1">
        <w:r>
          <w:rPr>
            <w:color w:val="0000FF"/>
          </w:rPr>
          <w:t>26</w:t>
        </w:r>
      </w:hyperlink>
      <w:r>
        <w:t xml:space="preserve"> Всеобщей декларации прав человека, которые касаются права на труд и права на образование, а также принципы, содержащиеся в </w:t>
      </w:r>
      <w:hyperlink r:id="rId8" w:tooltip="&quot;Конвенция о борьбе с дискриминацией в области образования&quot; (Заключена в г. Париже 14.12.1960){КонсультантПлюс}" w:history="1">
        <w:r>
          <w:rPr>
            <w:color w:val="0000FF"/>
          </w:rPr>
          <w:t>Конвенции</w:t>
        </w:r>
      </w:hyperlink>
      <w:r>
        <w:t xml:space="preserve"> о борьбе с дискриминацией в области образования, принятой в Париже 14 декабря 1960 года, в Международном </w:t>
      </w:r>
      <w:hyperlink r:id="rId9" w:tooltip="&quot;Международный пакт об экономических, социальных и культурных правах&quot; (Принят 16.12.1966 Резолюцией 2200 (XXI) на 1496-ом пленарном заседании Генеральной Ассамблеи ООН){КонсультантПлюс}" w:history="1">
        <w:r>
          <w:rPr>
            <w:color w:val="0000FF"/>
          </w:rPr>
          <w:t>пакте</w:t>
        </w:r>
      </w:hyperlink>
      <w:r>
        <w:t xml:space="preserve"> об экономических, социальных и культурных правах и Международном </w:t>
      </w:r>
      <w:hyperlink r:id="rId10" w:tooltip="&quot;Международный пакт о гражданских и политических правах&quot; (Принят 16.12.1966 Резолюцией 2200 (XXI) на 1496-ом пленарном заседании Генеральной Ассамблеи ООН){КонсультантПлюс}" w:history="1">
        <w:r>
          <w:rPr>
            <w:color w:val="0000FF"/>
          </w:rPr>
          <w:t>пакте</w:t>
        </w:r>
      </w:hyperlink>
      <w:r>
        <w:t xml:space="preserve"> о гражданских и политических правах, принятых в Нью-Йорке 16 декабря 1966 года, а также в </w:t>
      </w:r>
      <w:hyperlink r:id="rId11" w:tooltip="&quot;Конвенция о ликвидации всех форм дискриминации в отношении женщин&quot; (Заключена 18.12.1979){КонсультантПлюс}" w:history="1">
        <w:r>
          <w:rPr>
            <w:color w:val="0000FF"/>
          </w:rPr>
          <w:t>Конвенции</w:t>
        </w:r>
      </w:hyperlink>
      <w:r>
        <w:t xml:space="preserve"> о ликвидации всех форм дискриминации в отношении женщин, принятой Генеральной Ассамблеей Организации Объединенных Наций 18 декабря 1979 г.,</w:t>
      </w:r>
    </w:p>
    <w:p w:rsidR="004166D3" w:rsidRDefault="004166D3" w:rsidP="004166D3">
      <w:pPr>
        <w:pStyle w:val="ConsPlusNormal"/>
        <w:ind w:firstLine="540"/>
        <w:jc w:val="both"/>
      </w:pPr>
      <w:r>
        <w:t>признавая, что развитие технического и профессионального образования должно содействовать поддержанию мира и дружескому взаимопониманию между различными странами,</w:t>
      </w:r>
    </w:p>
    <w:p w:rsidR="004166D3" w:rsidRDefault="004166D3" w:rsidP="004166D3">
      <w:pPr>
        <w:pStyle w:val="ConsPlusNormal"/>
        <w:ind w:firstLine="540"/>
        <w:jc w:val="both"/>
      </w:pPr>
      <w:r>
        <w:t>отмечая положения пересмотренной Рекомендации о техническом и профессиональном образовании и Рекомендации о воспитании в духе международного взаимопонимания, сотрудничества и мира и воспитании в духе уважения прав человека и основных свобод, принятых на восемнадцатой сессии Генеральной конференции в 1974 году,</w:t>
      </w:r>
    </w:p>
    <w:p w:rsidR="004166D3" w:rsidRDefault="004166D3" w:rsidP="004166D3">
      <w:pPr>
        <w:pStyle w:val="ConsPlusNormal"/>
        <w:ind w:firstLine="540"/>
        <w:jc w:val="both"/>
      </w:pPr>
      <w:r>
        <w:t xml:space="preserve">отмечая также положения Рекомендации о развитии образования взрослых, принятой Генеральной конференцией в 1976 году, и </w:t>
      </w:r>
      <w:hyperlink r:id="rId12" w:tooltip="Рекомендация ЮНЕСКО &quot;О положении учителей&quot; (Принята 05.10.1966 Специальной межправительственной конференцией по вопросу о статусе учителей){КонсультантПлюс}" w:history="1">
        <w:r>
          <w:rPr>
            <w:color w:val="0000FF"/>
          </w:rPr>
          <w:t>Рекомендации</w:t>
        </w:r>
      </w:hyperlink>
      <w:r>
        <w:t xml:space="preserve"> о положении учителей, принятой Специальной межправительственной конференцией в 1966 году,</w:t>
      </w:r>
    </w:p>
    <w:p w:rsidR="004166D3" w:rsidRDefault="004166D3" w:rsidP="004166D3">
      <w:pPr>
        <w:pStyle w:val="ConsPlusNormal"/>
        <w:ind w:firstLine="540"/>
        <w:jc w:val="both"/>
      </w:pPr>
      <w:r>
        <w:t>учитывая соответствующие рекомендации Международной конференции по образованию,</w:t>
      </w:r>
    </w:p>
    <w:p w:rsidR="004166D3" w:rsidRDefault="004166D3" w:rsidP="004166D3">
      <w:pPr>
        <w:pStyle w:val="ConsPlusNormal"/>
        <w:ind w:firstLine="540"/>
        <w:jc w:val="both"/>
      </w:pPr>
      <w:r>
        <w:t xml:space="preserve">памятуя о положениях </w:t>
      </w:r>
      <w:hyperlink r:id="rId13" w:tooltip="Конвенция N 142 Международной организации труда &quot;О профессиональной ориентации и профессиональной подготовке в области развития людских ресурсов&quot; [рус., англ.] (Заключена в г. Женеве 23.06.1975){КонсультантПлюс}" w:history="1">
        <w:r>
          <w:rPr>
            <w:color w:val="0000FF"/>
          </w:rPr>
          <w:t>Конвенции</w:t>
        </w:r>
      </w:hyperlink>
      <w:r>
        <w:t xml:space="preserve"> (N 142) и </w:t>
      </w:r>
      <w:hyperlink r:id="rId14" w:tooltip="Рекомендация N 150 Международной организации труда &quot;О профессиональной ориентации и профессиональной подготовке в области развития людских ресурсов&quot; (Принята в г. Женеве 23.06.1975 на 60-ой сессии Генеральной конференции МОТ){КонсультантПлюс}" w:history="1">
        <w:r>
          <w:rPr>
            <w:color w:val="0000FF"/>
          </w:rPr>
          <w:t>Рекомендации</w:t>
        </w:r>
      </w:hyperlink>
      <w:r>
        <w:t xml:space="preserve"> (N 150) о развитии людских ресурсов, принятых шестидесятой сессией Международной конференции труда в 1975 году,</w:t>
      </w:r>
    </w:p>
    <w:p w:rsidR="004166D3" w:rsidRDefault="004166D3" w:rsidP="004166D3">
      <w:pPr>
        <w:pStyle w:val="ConsPlusNormal"/>
        <w:ind w:firstLine="540"/>
        <w:jc w:val="both"/>
      </w:pPr>
      <w:r>
        <w:t>отмечая далее тесное сотрудничество между ЮНЕСКО и Международной организацией труда при разработке их соответствующих документов, с тем чтобы они преследовали согласованные задачи в целях дальнейшего плодотворного сотрудничества,</w:t>
      </w:r>
    </w:p>
    <w:p w:rsidR="004166D3" w:rsidRDefault="004166D3" w:rsidP="004166D3">
      <w:pPr>
        <w:pStyle w:val="ConsPlusNormal"/>
        <w:ind w:firstLine="540"/>
        <w:jc w:val="both"/>
      </w:pPr>
      <w:r>
        <w:t>учитывая необходимость предпринять особые усилия в интересах технической и профессиональной подготовки женщин и девушек,</w:t>
      </w:r>
    </w:p>
    <w:p w:rsidR="004166D3" w:rsidRDefault="004166D3" w:rsidP="004166D3">
      <w:pPr>
        <w:pStyle w:val="ConsPlusNormal"/>
        <w:ind w:firstLine="540"/>
        <w:jc w:val="both"/>
      </w:pPr>
      <w:r>
        <w:t>уделяя особое внимание разнообразию систем образования, социально-экономических и культурных условий, особенно условий в развивающихся странах, которые требуют особого рассмотрения и особых мер,</w:t>
      </w:r>
    </w:p>
    <w:p w:rsidR="004166D3" w:rsidRDefault="004166D3" w:rsidP="004166D3">
      <w:pPr>
        <w:pStyle w:val="ConsPlusNormal"/>
        <w:ind w:firstLine="540"/>
        <w:jc w:val="both"/>
      </w:pPr>
      <w:r>
        <w:t>считая, что, несмотря на это разнообразие, развитие технического и профессионального образования повсеместно отвечает одинаковым целям и ставит аналогичные проблемы и что, следовательно, необходимы общие нормы,</w:t>
      </w:r>
    </w:p>
    <w:p w:rsidR="004166D3" w:rsidRDefault="004166D3" w:rsidP="004166D3">
      <w:pPr>
        <w:pStyle w:val="ConsPlusNormal"/>
        <w:ind w:firstLine="540"/>
        <w:jc w:val="both"/>
      </w:pPr>
      <w:r>
        <w:t>признавая, что быстрые темпы технического, социального и экономического развития существенно обострили необходимость расширения и улучшения технического и профессионального образования, предоставляемого как молодежи, так и взрослым,</w:t>
      </w:r>
    </w:p>
    <w:p w:rsidR="004166D3" w:rsidRDefault="004166D3" w:rsidP="004166D3">
      <w:pPr>
        <w:pStyle w:val="ConsPlusNormal"/>
        <w:ind w:firstLine="540"/>
        <w:jc w:val="both"/>
      </w:pPr>
      <w:r>
        <w:t>признавая, что техническое и профессиональное образование соответствует глобальной цели, заключающейся в развитии как отдельных людей, так и обществ,</w:t>
      </w:r>
    </w:p>
    <w:p w:rsidR="004166D3" w:rsidRDefault="004166D3" w:rsidP="004166D3">
      <w:pPr>
        <w:pStyle w:val="ConsPlusNormal"/>
        <w:ind w:firstLine="540"/>
        <w:jc w:val="both"/>
      </w:pPr>
      <w:r>
        <w:t>будучи убеждена в необходимости обмена информацией и опытом в деле развития технического и профессионального образования, а также в желательности укрепления международного сотрудничества в этой области,</w:t>
      </w:r>
    </w:p>
    <w:p w:rsidR="004166D3" w:rsidRDefault="004166D3" w:rsidP="004166D3">
      <w:pPr>
        <w:pStyle w:val="ConsPlusNormal"/>
        <w:ind w:firstLine="540"/>
        <w:jc w:val="both"/>
      </w:pPr>
      <w:r>
        <w:t xml:space="preserve">будучи убеждена в полезности международного правового документа для укрепления </w:t>
      </w:r>
      <w:r>
        <w:lastRenderedPageBreak/>
        <w:t>международного сотрудничества в деле развития технического и профессионального образования,</w:t>
      </w:r>
    </w:p>
    <w:p w:rsidR="004166D3" w:rsidRDefault="004166D3" w:rsidP="004166D3">
      <w:pPr>
        <w:pStyle w:val="ConsPlusNormal"/>
        <w:ind w:firstLine="540"/>
        <w:jc w:val="both"/>
      </w:pPr>
      <w:r>
        <w:t>принимает десятого дня ноября 1989 года настоящую Конвенцию.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1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>Договаривающиеся государства соглашаются в следующем: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a</w:t>
      </w:r>
      <w:proofErr w:type="spellEnd"/>
      <w:r>
        <w:t>) для целей настоящей Конвенции "техническое и профессиональное образование" охватывает все формы и уровни процесса образования, включая, в дополнение к общим знаниям, изучение техники и относящихся к ней дисциплин, приобретение практических навыков, "ноу-хау", формирование отношений и понимание вопросов, относящихся к профессии в различных секторах экономической и социальной жизни;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b</w:t>
      </w:r>
      <w:proofErr w:type="spellEnd"/>
      <w:r>
        <w:t>) настоящая Конвенция касается всех форм и уровней технического и профессионального образования, осуществляемого в учебных заведениях или в рамках совместных программ, осуществляемых как учебными учреждениями, с одной стороны, так и промышленными, сельскохозяйственными, торговыми или любыми другими предприятиями, связанными с миром труда, с другой стороны;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c</w:t>
      </w:r>
      <w:proofErr w:type="spellEnd"/>
      <w:r>
        <w:t>) настоящая Конвенция осуществляется в соответствии с положениями конституций и законодательства каждого Договаривающегося государства.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2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>1. Договаривающиеся государства соглашаются вырабатывать политику, определять стратегии и осуществлять в соответствии со своими потребностями и ресурсами программы и учебные планы технического и профессионального образования, предназначенные для молодежи и взрослых, в рамках своих соответствующих систем образования, с тем чтобы содействовать приобретению ими знаний и "ноу-хау", необходимых для экономического и социального развития, а также индивидуального и культурного самовыражения личности в обществе.</w:t>
      </w:r>
    </w:p>
    <w:p w:rsidR="004166D3" w:rsidRDefault="004166D3" w:rsidP="004166D3">
      <w:pPr>
        <w:pStyle w:val="ConsPlusNormal"/>
        <w:ind w:firstLine="540"/>
        <w:jc w:val="both"/>
      </w:pPr>
      <w:r>
        <w:t>2. Общие рамки развития технического и профессионального образования определяются в каждом Договаривающемся государстве соответствующим законодательством или принятием других мер, с указанием: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a</w:t>
      </w:r>
      <w:proofErr w:type="spellEnd"/>
      <w:r>
        <w:t>) целей, подлежащих достижению в сфере технического и профессионального образования с учетом конкретных потребностей экономического, социального и культурного развития, а также индивидуального самовыражения личности;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b</w:t>
      </w:r>
      <w:proofErr w:type="spellEnd"/>
      <w:r>
        <w:t xml:space="preserve">) взаимосвязи между техническим и профессиональным образованием, с одной стороны, и другими типами образования, с другой стороны, с </w:t>
      </w:r>
      <w:proofErr w:type="spellStart"/>
      <w:r>
        <w:t>уделением</w:t>
      </w:r>
      <w:proofErr w:type="spellEnd"/>
      <w:r>
        <w:t xml:space="preserve"> особого внимания горизонтальной и вертикальной увязке программ;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c</w:t>
      </w:r>
      <w:proofErr w:type="spellEnd"/>
      <w:r>
        <w:t>) структур административной организации технического и профессионального образования, определяемых ответственными органами;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d</w:t>
      </w:r>
      <w:proofErr w:type="spellEnd"/>
      <w:r>
        <w:t>) роли государственных органов, ответственных за социально-экономическое планирование и планирование развития различных секторов экономики, а также, в соответствующих случаях, профессиональных ассоциаций, рабочих, служащих и других заинтересованных сторон.</w:t>
      </w:r>
    </w:p>
    <w:p w:rsidR="004166D3" w:rsidRDefault="004166D3" w:rsidP="004166D3">
      <w:pPr>
        <w:pStyle w:val="ConsPlusNormal"/>
        <w:ind w:firstLine="540"/>
        <w:jc w:val="both"/>
      </w:pPr>
      <w:r>
        <w:t>3. Договаривающиеся государства гарантируют, что ни одно лицо, обладающее необходимым уровнем знаний для приема в технические и профессиональные учебные заведения, не будет подвергаться дискриминации по признаку расы, цвета кожи, пола, языка, религии, национального или социального происхождения, политических или иных убеждений, экономического положения, рождения или любого другого признака.</w:t>
      </w:r>
    </w:p>
    <w:p w:rsidR="004166D3" w:rsidRDefault="004166D3" w:rsidP="004166D3">
      <w:pPr>
        <w:pStyle w:val="ConsPlusNormal"/>
        <w:ind w:firstLine="540"/>
        <w:jc w:val="both"/>
      </w:pPr>
      <w:r>
        <w:t>4. Договаривающиеся государства принимают меры для обеспечения права равного доступа к техническому и профессиональному образованию и равенства возможностей в учебе и ходе учебного процесса.</w:t>
      </w:r>
    </w:p>
    <w:p w:rsidR="004166D3" w:rsidRDefault="004166D3" w:rsidP="004166D3">
      <w:pPr>
        <w:pStyle w:val="ConsPlusNormal"/>
        <w:ind w:firstLine="540"/>
        <w:jc w:val="both"/>
      </w:pPr>
      <w:r>
        <w:t>5. Договаривающиеся государства обращают внимание на особые потребности лиц с физическими недостатками или других групп населения, находящихся в неблагоприятных условиях, и принимают соответствующие меры, с тем чтобы эти группы могли пользоваться благами технического и профессионального образования.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3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>1. Договаривающиеся государства соглашаются разрабатывать и осуществлять программы технического и профессионального образования, которые учитывают: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lastRenderedPageBreak/>
        <w:t>a</w:t>
      </w:r>
      <w:proofErr w:type="spellEnd"/>
      <w:r>
        <w:t>) положение в области образования, культуры и в социальной сфере соответствующих групп населения, а также их профессиональные устремления;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b</w:t>
      </w:r>
      <w:proofErr w:type="spellEnd"/>
      <w:r>
        <w:t>) технические и профессиональные навыки, знания и уровни квалификации, необходимые в различных отраслях экономики, а также технологические и структурные изменения, которых следует ожидать;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c</w:t>
      </w:r>
      <w:proofErr w:type="spellEnd"/>
      <w:r>
        <w:t>) возможности обеспечения занятости и перспективы развития на национальном, региональном и местном уровнях;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d</w:t>
      </w:r>
      <w:proofErr w:type="spellEnd"/>
      <w:r>
        <w:t>) охрану окружающей среды и принцип общего наследия человечества;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e</w:t>
      </w:r>
      <w:proofErr w:type="spellEnd"/>
      <w:r>
        <w:t>) охрану здоровья, технику безопасности и условия труда.</w:t>
      </w:r>
    </w:p>
    <w:p w:rsidR="004166D3" w:rsidRDefault="004166D3" w:rsidP="004166D3">
      <w:pPr>
        <w:pStyle w:val="ConsPlusNormal"/>
        <w:ind w:firstLine="540"/>
        <w:jc w:val="both"/>
      </w:pPr>
      <w:r>
        <w:t>2. Техническое и профессиональное образование должно строиться на основе открытых и гибких структур, с учетом принципа непрерывного образования и обеспечивать: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a</w:t>
      </w:r>
      <w:proofErr w:type="spellEnd"/>
      <w:r>
        <w:t>) приобщение всех молодых людей к технике и к миру труда в контексте общего образования;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b</w:t>
      </w:r>
      <w:proofErr w:type="spellEnd"/>
      <w:r>
        <w:t>) профессиональную и техническую ориентацию, информацию и консультирование относительно профессиональных возможностей;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c</w:t>
      </w:r>
      <w:proofErr w:type="spellEnd"/>
      <w:r>
        <w:t>) развитие образования, преследующего своей целью приобретение и развитие знаний и "ноу-хау", необходимых для квалифицированного труда;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d</w:t>
      </w:r>
      <w:proofErr w:type="spellEnd"/>
      <w:r>
        <w:t xml:space="preserve">) основу для образования и профессиональной подготовки, необходимых с учетом требований </w:t>
      </w:r>
      <w:proofErr w:type="spellStart"/>
      <w:r>
        <w:t>межпрофессиональной</w:t>
      </w:r>
      <w:proofErr w:type="spellEnd"/>
      <w:r>
        <w:t xml:space="preserve"> мобильности, повышения профессиональной квалификации и обновления знаний, навыков и понимания;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e</w:t>
      </w:r>
      <w:proofErr w:type="spellEnd"/>
      <w:r>
        <w:t>) дополнительное общее образование для лиц, получающих начальную техническую и профессиональную подготовку на работе или иным образом, как в технических и профессиональных учебных заведениях, так и вне их;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f</w:t>
      </w:r>
      <w:proofErr w:type="spellEnd"/>
      <w:r>
        <w:t>) непрерывное образование и курсы подготовки для взрослых, в частности с целью переподготовки, а также пополнения и повышения квалификации лиц, нынешние знания которых устарели в силу научного и технического прогресса или изменения структуры занятости или социально-экономической ситуации, а также для лиц, находящихся в особых условиях.</w:t>
      </w:r>
    </w:p>
    <w:p w:rsidR="004166D3" w:rsidRDefault="004166D3" w:rsidP="004166D3">
      <w:pPr>
        <w:pStyle w:val="ConsPlusNormal"/>
        <w:ind w:firstLine="540"/>
        <w:jc w:val="both"/>
      </w:pPr>
      <w:r>
        <w:t>3. Программы технического и профессионального образования должны отвечать не только техническим требованиям соответствующих отраслей производства, но и обеспечивать общую подготовку, необходимую для индивидуального культурного расцвета личности, а также должны включать концепции, в частности, социального, экономического и экологического характера, имеющие отношение к данной профессии.</w:t>
      </w:r>
    </w:p>
    <w:p w:rsidR="004166D3" w:rsidRDefault="004166D3" w:rsidP="004166D3">
      <w:pPr>
        <w:pStyle w:val="ConsPlusNormal"/>
        <w:ind w:firstLine="540"/>
        <w:jc w:val="both"/>
      </w:pPr>
      <w:r>
        <w:t>4. Договаривающиеся государства соглашаются оказывать поддержку и консультативную помощь предприятиям, помимо учебных заведений, которые участвуют в совместных программах технического и профессионального образования.</w:t>
      </w:r>
    </w:p>
    <w:p w:rsidR="004166D3" w:rsidRDefault="004166D3" w:rsidP="004166D3">
      <w:pPr>
        <w:pStyle w:val="ConsPlusNormal"/>
        <w:ind w:firstLine="540"/>
        <w:jc w:val="both"/>
      </w:pPr>
      <w:r>
        <w:t>5. Квалификация на каждом профессиональном уровне должна быть как можно четче определена, а учебный план должен все время обновляться, путем включения новых знаний и технических методов.</w:t>
      </w:r>
    </w:p>
    <w:p w:rsidR="004166D3" w:rsidRDefault="004166D3" w:rsidP="004166D3">
      <w:pPr>
        <w:pStyle w:val="ConsPlusNormal"/>
        <w:ind w:firstLine="540"/>
        <w:jc w:val="both"/>
      </w:pPr>
      <w:r>
        <w:t>6. При оценке способности к осуществлению профессиональных обязанностей и определении соответствующих дипломов, удостоверяющих техническое и профессиональное образование, должны учитываться одновременно практические и теоретические аспекты соответствующей области технических знаний; этот принцип должен распространяться как на лиц, получивших подготовку, так и на лиц, приобретших профессиональный опыт в ходе работы.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4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>Договаривающиеся государства соглашаются периодически пересматривать структуры технического и профессионального образования, учебные планы и программы, а также методы обучения и учебные материалы, а также формы сотрудничества между школьной системой и миром труда, с тем чтобы обеспечить их постоянную связь с достижениями научно-технического прогресса и с развитием культуры, а также с изменением потребностей в области занятости в различных секторах экономики, и чтобы учитывать научные достижения и нововведения в области образования с целью внедрения наиболее эффективных педагогических методов.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5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 xml:space="preserve">1. Договаривающиеся государства соглашаются, что все лица, преподающие в области профессионального и технического образования, занятые полное или неполное рабочее время, должны обладать соответствующими теоретическими и практическими знаниями в своих областях </w:t>
      </w:r>
      <w:r>
        <w:lastRenderedPageBreak/>
        <w:t>профессиональной компетенции, а также соответствующими навыками преподавания, которые отвечают типу и уровню занятий, которые они призваны проводить.</w:t>
      </w:r>
    </w:p>
    <w:p w:rsidR="004166D3" w:rsidRDefault="004166D3" w:rsidP="004166D3">
      <w:pPr>
        <w:pStyle w:val="ConsPlusNormal"/>
        <w:ind w:firstLine="540"/>
        <w:jc w:val="both"/>
      </w:pPr>
      <w:r>
        <w:t>2. Лицам, преподающим в технических и профессиональных учебных заведениях, должна предоставляться возможность совершенствовать имеющуюся у них техническую информацию, свои специальные знания и навыки посредством специализированных курсов, практической подготовки на предприятиях и любых других организованных форм деятельности, предусматривающих участие в сфере труда; кроме того, они должны иметь доступ к информации и подготовке в области педагогических нововведений, которые могут быть использованы в их конкретной дисциплине, а также иметь возможность участвовать в соответствующих научных исследованиях и разработках.</w:t>
      </w:r>
    </w:p>
    <w:p w:rsidR="004166D3" w:rsidRDefault="004166D3" w:rsidP="004166D3">
      <w:pPr>
        <w:pStyle w:val="ConsPlusNormal"/>
        <w:ind w:firstLine="540"/>
        <w:jc w:val="both"/>
      </w:pPr>
      <w:r>
        <w:t xml:space="preserve">3. Преподаватели и другие специалисты в области технического и профессионального образования должны иметь равные возможности найма, на </w:t>
      </w:r>
      <w:proofErr w:type="spellStart"/>
      <w:r>
        <w:t>недискриминационной</w:t>
      </w:r>
      <w:proofErr w:type="spellEnd"/>
      <w:r>
        <w:t xml:space="preserve"> основе, и условия их найма должны обеспечивать возможность привлечения, набора и работы квалифицированных в своих областях компетенции кадров.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6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>С целью содействия международному сотрудничеству Договаривающиеся Стороны соглашаются: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a</w:t>
      </w:r>
      <w:proofErr w:type="spellEnd"/>
      <w:r>
        <w:t>) содействовать сбору и распространению информации, касающейся нововведений, идей и опыта в области технического и профессионального образования, и принимать активное участие в международном обмене информацией об учебных программах и программах подготовки преподавательских кадров, методах, стандартах на оборудование и школьных учебниках в области технического и профессионального образования;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b</w:t>
      </w:r>
      <w:proofErr w:type="spellEnd"/>
      <w:r>
        <w:t>) поощрять использование в области технического и профессионального образования международных технических норм, применяемых в промышленности, торговле и других секторах экономики;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c</w:t>
      </w:r>
      <w:proofErr w:type="spellEnd"/>
      <w:r>
        <w:t>) содействовать выработке подходов, направленных на обеспечение признания эквивалентности квалификации, полученной в рамках технического и профессионального образования;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d</w:t>
      </w:r>
      <w:proofErr w:type="spellEnd"/>
      <w:r>
        <w:t>) содействовать международному обмену преподавателями, администраторами и другими специалистами в области технического и профессионального образования;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e</w:t>
      </w:r>
      <w:proofErr w:type="spellEnd"/>
      <w:r>
        <w:t>) предоставлять учащимся из других стран, прежде всего из развивающихся стран, возможность получать техническое и профессиональное образование в своих учебных заведениях, в частности, с целью упрощения процесса изучения, приобретения, приспособления, передачи и применения технологии;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f</w:t>
      </w:r>
      <w:proofErr w:type="spellEnd"/>
      <w:r>
        <w:t>) содействовать развитию сотрудничества в области технического и профессионального образования между всеми странами, но в особенности между промышленно развитыми и развивающимися странами, с целью поощрения развития технологий этих стран;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g</w:t>
      </w:r>
      <w:proofErr w:type="spellEnd"/>
      <w:r>
        <w:t xml:space="preserve">) </w:t>
      </w:r>
      <w:proofErr w:type="spellStart"/>
      <w:r>
        <w:t>мобилизовывать</w:t>
      </w:r>
      <w:proofErr w:type="spellEnd"/>
      <w:r>
        <w:t xml:space="preserve"> ресурсы с целью укрепления международного сотрудничества в области технического и профессионального образования.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7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>Договаривающиеся государства должны сообщать в периодических докладах, которые они будут представлять Генеральной конференции Организации Объединенных Наций по вопросам образования, науки и культуры, в сроки и в форме, которые будут ею установлены, о законодательных, нормативных и прочих мерах, принятых ими для осуществления настоящей Конвенции.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8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 xml:space="preserve">К государствам - участникам настоящей Конвенции, в которых действует </w:t>
      </w:r>
      <w:proofErr w:type="spellStart"/>
      <w:r>
        <w:t>неунитарная</w:t>
      </w:r>
      <w:proofErr w:type="spellEnd"/>
      <w:r>
        <w:t xml:space="preserve"> конституционная система, применяются следующие положения: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a</w:t>
      </w:r>
      <w:proofErr w:type="spellEnd"/>
      <w:r>
        <w:t>) в отношении положений настоящей Конвенции, осуществление которых подпадает под юрисдикцию федеральных или центральных законодательных властей, обязательства федерального или центрального правительства являются такими же как и обязательства государства - участников с централизованной системой;</w:t>
      </w:r>
    </w:p>
    <w:p w:rsidR="004166D3" w:rsidRDefault="004166D3" w:rsidP="004166D3">
      <w:pPr>
        <w:pStyle w:val="ConsPlusNormal"/>
        <w:ind w:firstLine="540"/>
        <w:jc w:val="both"/>
      </w:pPr>
      <w:proofErr w:type="spellStart"/>
      <w:r>
        <w:t>b</w:t>
      </w:r>
      <w:proofErr w:type="spellEnd"/>
      <w:r>
        <w:t xml:space="preserve">) в отношении положений настоящей Конвенции, осуществление которых подпадает под юрисдикцию входящих в федерацию штатов и земель, провинций, автономных общин или кантонов, которые в соответствии с общей или основной федеральной конституционной системой не обязаны принимать законодательных мер, центральное правительство информирует компетентные власти таких штатов, </w:t>
      </w:r>
      <w:r>
        <w:lastRenderedPageBreak/>
        <w:t>земель, провинций, автономных общин или кантонов об указанных выше положениях с рекомендацией об их принятии.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9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>Участниками настоящей Конвенции могут стать государства - члены ЮНЕСКО, равно как и государства, не являющиеся ее членами, но которые были приглашены Исполнительным советом ЮНЕСКО стать ее участниками путем сдачи на хранение Генеральному директору ЮНЕСКО акта о ее ратификации, принятии, присоединении или согласии с нею.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10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>Настоящая Конвенция вступает в силу через три месяца со дня сдачи на хранение третьего акта, упомянутого в статье 9, но лишь в отношении тех государств, которые сдали на хранение свои соответствующие акты в указанный день или ранее. В отношении любого другого государства Конвенция вступает в силу через три месяца после того, как оно сдало на хранение свой акт.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11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>1. Каждое Договаривающееся государство может денонсировать настоящую Конвенцию посредством официального уведомления, направленного в письменной форме Генеральному директору Организации Объединенных Наций по вопросам образования, науки и культуры.</w:t>
      </w:r>
    </w:p>
    <w:p w:rsidR="004166D3" w:rsidRDefault="004166D3" w:rsidP="004166D3">
      <w:pPr>
        <w:pStyle w:val="ConsPlusNormal"/>
        <w:ind w:firstLine="540"/>
        <w:jc w:val="both"/>
      </w:pPr>
      <w:r>
        <w:t>2. Денонсация вступает в силу через двенадцать месяцев после получения такого уведомления.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12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>Генеральный директор Организации Объединенных Наций по вопросам образования, науки и культуры сообщает государствам - членам Организации, государствам, не являющимся ее членами, упомянутым в статье 9, а также Организации Объединенных Наций о сдаче на хранение всех актов, указанных в статье 9, а также о денонсациях, предусмотренных в статье 11.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13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>1. Настоящая Конвенция может быть пересмотрена Генеральной конференцией Организации Объединенных Наций по вопросам образования, науки и культуры. Такой пересмотр будет обязывать, однако, лишь те государства, которые станут участниками пересмотренной Конвенции.</w:t>
      </w:r>
    </w:p>
    <w:p w:rsidR="004166D3" w:rsidRDefault="004166D3" w:rsidP="004166D3">
      <w:pPr>
        <w:pStyle w:val="ConsPlusNormal"/>
        <w:ind w:firstLine="540"/>
        <w:jc w:val="both"/>
      </w:pPr>
      <w:r>
        <w:t>2. В случае, если Генеральная конференция примет новую конвенцию в результате полного или частичного пересмотра настоящей Конвенции и если новая конвенция не будет содержать иных положений, настоящая Конвенция будет закрыта для новых государств - участников со дня вступления в силу пересмотренной новой конвенции.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14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>Настоящая Конвенция составлена на английском, арабском, испанском, китайском, русском и французском языках, причем все шесть текстов имеют равную силу.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jc w:val="center"/>
        <w:outlineLvl w:val="0"/>
      </w:pPr>
      <w:r>
        <w:t>Статья 15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 xml:space="preserve">В соответствии со </w:t>
      </w:r>
      <w:hyperlink r:id="rId15" w:tooltip="&quot;Устав Организации Объединенных Наций&quot; (Принят в г. Сан-Франциско 26.06.1945) (с изм. и доп. от 20.12.1971){КонсультантПлюс}" w:history="1">
        <w:r>
          <w:rPr>
            <w:color w:val="0000FF"/>
          </w:rPr>
          <w:t>статьей 102</w:t>
        </w:r>
      </w:hyperlink>
      <w:r>
        <w:t xml:space="preserve"> Устава Организации Объединенных Наций настоящая Конвенция будет зарегистрирована в Секретариате Организации Объединенных Наций по просьбе Генерального директора Организации Объединенных Наций по вопросам образования, науки и культуры.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ind w:firstLine="540"/>
        <w:jc w:val="both"/>
      </w:pPr>
      <w:r>
        <w:t xml:space="preserve">Совершено в г. Париже сего 10 ноября 1989 года в двух экземплярах, имеющих одинаковую силу, за подписью Председателя Генеральной конференции, собравшейся на свою двадцать пятую сессию, и Генерального директора Организации Объединенных Наций по вопросам образования, науки и культуры. Эти экземпляры будут помещены в архивы Организации Объединенных Наций по вопросам образования, науки и культуры, и их заверенные копии будут направлены всем государствам, указанным в статье 9, а </w:t>
      </w:r>
      <w:r>
        <w:lastRenderedPageBreak/>
        <w:t>также Организации Объединенных Наций.</w:t>
      </w: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</w:pPr>
    </w:p>
    <w:p w:rsidR="004166D3" w:rsidRDefault="004166D3" w:rsidP="00416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291" w:rsidRDefault="004166D3"/>
    <w:sectPr w:rsidR="00FA2291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EB" w:rsidRDefault="004166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939E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EB" w:rsidRDefault="004166D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EB" w:rsidRDefault="004166D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EB" w:rsidRDefault="004166D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2939EB" w:rsidRDefault="004166D3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939E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EB" w:rsidRDefault="004166D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"Конвенция о техническом и профессиональном образовании"</w:t>
          </w:r>
          <w:r>
            <w:rPr>
              <w:sz w:val="16"/>
              <w:szCs w:val="16"/>
            </w:rPr>
            <w:br/>
            <w:t>(Заключена в г. Париже 10.11.1989)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EB" w:rsidRDefault="004166D3">
          <w:pPr>
            <w:pStyle w:val="ConsPlusNormal"/>
            <w:jc w:val="center"/>
            <w:rPr>
              <w:sz w:val="24"/>
              <w:szCs w:val="24"/>
            </w:rPr>
          </w:pPr>
        </w:p>
        <w:p w:rsidR="002939EB" w:rsidRDefault="004166D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EB" w:rsidRDefault="004166D3" w:rsidP="002640A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2939EB" w:rsidRDefault="004166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939EB" w:rsidRDefault="004166D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4166D3"/>
    <w:rsid w:val="000072B7"/>
    <w:rsid w:val="0001101F"/>
    <w:rsid w:val="0001109B"/>
    <w:rsid w:val="00013A8A"/>
    <w:rsid w:val="000144FB"/>
    <w:rsid w:val="00014B37"/>
    <w:rsid w:val="00014CD2"/>
    <w:rsid w:val="00015961"/>
    <w:rsid w:val="0003430C"/>
    <w:rsid w:val="00035F1F"/>
    <w:rsid w:val="00040133"/>
    <w:rsid w:val="00043302"/>
    <w:rsid w:val="00043D88"/>
    <w:rsid w:val="0004512D"/>
    <w:rsid w:val="00045999"/>
    <w:rsid w:val="00046458"/>
    <w:rsid w:val="00056B0C"/>
    <w:rsid w:val="00057668"/>
    <w:rsid w:val="00061B1C"/>
    <w:rsid w:val="000656FB"/>
    <w:rsid w:val="000669F6"/>
    <w:rsid w:val="00071E1A"/>
    <w:rsid w:val="00075CC0"/>
    <w:rsid w:val="00083FCA"/>
    <w:rsid w:val="0008520B"/>
    <w:rsid w:val="0009300A"/>
    <w:rsid w:val="000933D9"/>
    <w:rsid w:val="000A061D"/>
    <w:rsid w:val="000A127D"/>
    <w:rsid w:val="000A3493"/>
    <w:rsid w:val="000A40A5"/>
    <w:rsid w:val="000A43E8"/>
    <w:rsid w:val="000B0E49"/>
    <w:rsid w:val="000B19EF"/>
    <w:rsid w:val="000B3060"/>
    <w:rsid w:val="000B3A78"/>
    <w:rsid w:val="000B3D81"/>
    <w:rsid w:val="000B7379"/>
    <w:rsid w:val="000C5010"/>
    <w:rsid w:val="000D4876"/>
    <w:rsid w:val="000D5559"/>
    <w:rsid w:val="000D765B"/>
    <w:rsid w:val="000E06B9"/>
    <w:rsid w:val="000E34BE"/>
    <w:rsid w:val="000E5BA7"/>
    <w:rsid w:val="000E7535"/>
    <w:rsid w:val="000E7BF0"/>
    <w:rsid w:val="000F0838"/>
    <w:rsid w:val="000F269A"/>
    <w:rsid w:val="001008B4"/>
    <w:rsid w:val="001035B1"/>
    <w:rsid w:val="001049A3"/>
    <w:rsid w:val="00113E05"/>
    <w:rsid w:val="001152CC"/>
    <w:rsid w:val="00120DFB"/>
    <w:rsid w:val="00123982"/>
    <w:rsid w:val="001273B0"/>
    <w:rsid w:val="00143F4E"/>
    <w:rsid w:val="00151639"/>
    <w:rsid w:val="001616E9"/>
    <w:rsid w:val="00164283"/>
    <w:rsid w:val="00164DAF"/>
    <w:rsid w:val="001678B7"/>
    <w:rsid w:val="00170026"/>
    <w:rsid w:val="00171B31"/>
    <w:rsid w:val="00184A5C"/>
    <w:rsid w:val="00196101"/>
    <w:rsid w:val="001A0C12"/>
    <w:rsid w:val="001A10DF"/>
    <w:rsid w:val="001A536D"/>
    <w:rsid w:val="001B0270"/>
    <w:rsid w:val="001B1D74"/>
    <w:rsid w:val="001B5D14"/>
    <w:rsid w:val="001C055A"/>
    <w:rsid w:val="001C2C47"/>
    <w:rsid w:val="001C78CF"/>
    <w:rsid w:val="001D5DFE"/>
    <w:rsid w:val="001E5B8A"/>
    <w:rsid w:val="001F1946"/>
    <w:rsid w:val="001F649C"/>
    <w:rsid w:val="00200B54"/>
    <w:rsid w:val="00206D7B"/>
    <w:rsid w:val="00211A09"/>
    <w:rsid w:val="00211FF3"/>
    <w:rsid w:val="00212108"/>
    <w:rsid w:val="00214680"/>
    <w:rsid w:val="00220E18"/>
    <w:rsid w:val="002211B5"/>
    <w:rsid w:val="00226A32"/>
    <w:rsid w:val="00230CF0"/>
    <w:rsid w:val="00231D6C"/>
    <w:rsid w:val="00234672"/>
    <w:rsid w:val="0023651E"/>
    <w:rsid w:val="00240BFC"/>
    <w:rsid w:val="00241404"/>
    <w:rsid w:val="00242B3A"/>
    <w:rsid w:val="00251781"/>
    <w:rsid w:val="00257AEE"/>
    <w:rsid w:val="00270835"/>
    <w:rsid w:val="00271C7F"/>
    <w:rsid w:val="00272B80"/>
    <w:rsid w:val="00274E40"/>
    <w:rsid w:val="0027507D"/>
    <w:rsid w:val="00275ACE"/>
    <w:rsid w:val="00280685"/>
    <w:rsid w:val="00293C0D"/>
    <w:rsid w:val="002A1DCC"/>
    <w:rsid w:val="002A6E99"/>
    <w:rsid w:val="002A7403"/>
    <w:rsid w:val="002B1877"/>
    <w:rsid w:val="002B7B84"/>
    <w:rsid w:val="002B7BFD"/>
    <w:rsid w:val="002C4FBC"/>
    <w:rsid w:val="002D2E19"/>
    <w:rsid w:val="002D771A"/>
    <w:rsid w:val="002E14A6"/>
    <w:rsid w:val="002F3771"/>
    <w:rsid w:val="002F6B7A"/>
    <w:rsid w:val="00300398"/>
    <w:rsid w:val="00302D5E"/>
    <w:rsid w:val="00313914"/>
    <w:rsid w:val="00315DD1"/>
    <w:rsid w:val="00322B71"/>
    <w:rsid w:val="00327D86"/>
    <w:rsid w:val="00335A3D"/>
    <w:rsid w:val="00335DC6"/>
    <w:rsid w:val="00340183"/>
    <w:rsid w:val="00346CFE"/>
    <w:rsid w:val="00362CF7"/>
    <w:rsid w:val="00367AB8"/>
    <w:rsid w:val="003704D2"/>
    <w:rsid w:val="00382072"/>
    <w:rsid w:val="00382B77"/>
    <w:rsid w:val="00386015"/>
    <w:rsid w:val="0039028E"/>
    <w:rsid w:val="0039476E"/>
    <w:rsid w:val="003975AB"/>
    <w:rsid w:val="003A60C8"/>
    <w:rsid w:val="003B07CF"/>
    <w:rsid w:val="003B0C0A"/>
    <w:rsid w:val="003B1E9B"/>
    <w:rsid w:val="003B3CA6"/>
    <w:rsid w:val="003C2C77"/>
    <w:rsid w:val="003C5596"/>
    <w:rsid w:val="003D18E6"/>
    <w:rsid w:val="003D519F"/>
    <w:rsid w:val="003D79CA"/>
    <w:rsid w:val="003E2411"/>
    <w:rsid w:val="003E4A5B"/>
    <w:rsid w:val="003E4B40"/>
    <w:rsid w:val="003F1794"/>
    <w:rsid w:val="003F5C2D"/>
    <w:rsid w:val="00401B4D"/>
    <w:rsid w:val="0040216C"/>
    <w:rsid w:val="004027E4"/>
    <w:rsid w:val="0040485F"/>
    <w:rsid w:val="004105B1"/>
    <w:rsid w:val="0041312F"/>
    <w:rsid w:val="004166D3"/>
    <w:rsid w:val="00416C0B"/>
    <w:rsid w:val="004230E9"/>
    <w:rsid w:val="004256E4"/>
    <w:rsid w:val="0042755A"/>
    <w:rsid w:val="0043203A"/>
    <w:rsid w:val="00436584"/>
    <w:rsid w:val="00451B8A"/>
    <w:rsid w:val="00452167"/>
    <w:rsid w:val="00464FBC"/>
    <w:rsid w:val="004658FB"/>
    <w:rsid w:val="0047289F"/>
    <w:rsid w:val="00473883"/>
    <w:rsid w:val="0047446F"/>
    <w:rsid w:val="00475BE1"/>
    <w:rsid w:val="00477E56"/>
    <w:rsid w:val="0048481B"/>
    <w:rsid w:val="00486625"/>
    <w:rsid w:val="00493420"/>
    <w:rsid w:val="004937A1"/>
    <w:rsid w:val="00496C0E"/>
    <w:rsid w:val="004A72AB"/>
    <w:rsid w:val="004B65FE"/>
    <w:rsid w:val="004C102F"/>
    <w:rsid w:val="004C4F15"/>
    <w:rsid w:val="004C585D"/>
    <w:rsid w:val="004D1D3F"/>
    <w:rsid w:val="004F2988"/>
    <w:rsid w:val="00500B81"/>
    <w:rsid w:val="005014C5"/>
    <w:rsid w:val="005018A2"/>
    <w:rsid w:val="0050404D"/>
    <w:rsid w:val="00504E70"/>
    <w:rsid w:val="00510B15"/>
    <w:rsid w:val="00512BA9"/>
    <w:rsid w:val="00515F9D"/>
    <w:rsid w:val="00517015"/>
    <w:rsid w:val="00533959"/>
    <w:rsid w:val="005356C5"/>
    <w:rsid w:val="00536095"/>
    <w:rsid w:val="00537991"/>
    <w:rsid w:val="00547C7D"/>
    <w:rsid w:val="0055507A"/>
    <w:rsid w:val="00556774"/>
    <w:rsid w:val="005649D3"/>
    <w:rsid w:val="00564EC2"/>
    <w:rsid w:val="00572A64"/>
    <w:rsid w:val="005762E0"/>
    <w:rsid w:val="00576F30"/>
    <w:rsid w:val="00580EFD"/>
    <w:rsid w:val="00581D82"/>
    <w:rsid w:val="0058234E"/>
    <w:rsid w:val="00583E12"/>
    <w:rsid w:val="00584474"/>
    <w:rsid w:val="005851F8"/>
    <w:rsid w:val="00590386"/>
    <w:rsid w:val="00593195"/>
    <w:rsid w:val="005A576E"/>
    <w:rsid w:val="005A7DA8"/>
    <w:rsid w:val="005A7EF0"/>
    <w:rsid w:val="005B136A"/>
    <w:rsid w:val="005B2A76"/>
    <w:rsid w:val="005D1B92"/>
    <w:rsid w:val="005D2CBC"/>
    <w:rsid w:val="005E72C7"/>
    <w:rsid w:val="00604A76"/>
    <w:rsid w:val="00605C87"/>
    <w:rsid w:val="0060719D"/>
    <w:rsid w:val="006279EE"/>
    <w:rsid w:val="00627C5E"/>
    <w:rsid w:val="006367E2"/>
    <w:rsid w:val="00641A0E"/>
    <w:rsid w:val="00644127"/>
    <w:rsid w:val="00644907"/>
    <w:rsid w:val="00646BB9"/>
    <w:rsid w:val="0065327F"/>
    <w:rsid w:val="006705BD"/>
    <w:rsid w:val="00671764"/>
    <w:rsid w:val="00672F51"/>
    <w:rsid w:val="00677501"/>
    <w:rsid w:val="00683EF9"/>
    <w:rsid w:val="006940DF"/>
    <w:rsid w:val="006942AD"/>
    <w:rsid w:val="00697250"/>
    <w:rsid w:val="006A230D"/>
    <w:rsid w:val="006B74FD"/>
    <w:rsid w:val="006C0E6F"/>
    <w:rsid w:val="006D44B5"/>
    <w:rsid w:val="006D5B0A"/>
    <w:rsid w:val="006E0CB8"/>
    <w:rsid w:val="006E3834"/>
    <w:rsid w:val="007013DF"/>
    <w:rsid w:val="0070323A"/>
    <w:rsid w:val="007131CA"/>
    <w:rsid w:val="0071495E"/>
    <w:rsid w:val="007265E0"/>
    <w:rsid w:val="007274B4"/>
    <w:rsid w:val="00732D12"/>
    <w:rsid w:val="0073353A"/>
    <w:rsid w:val="00746B42"/>
    <w:rsid w:val="00763EF6"/>
    <w:rsid w:val="00770BBE"/>
    <w:rsid w:val="00781330"/>
    <w:rsid w:val="0078744E"/>
    <w:rsid w:val="00790D55"/>
    <w:rsid w:val="0079344F"/>
    <w:rsid w:val="0079442A"/>
    <w:rsid w:val="0079475D"/>
    <w:rsid w:val="007A2097"/>
    <w:rsid w:val="007A60AD"/>
    <w:rsid w:val="007B4F0E"/>
    <w:rsid w:val="007B5524"/>
    <w:rsid w:val="007C3C22"/>
    <w:rsid w:val="007C67AE"/>
    <w:rsid w:val="007D0F68"/>
    <w:rsid w:val="007E25C2"/>
    <w:rsid w:val="007E3614"/>
    <w:rsid w:val="007E59A8"/>
    <w:rsid w:val="007F5DED"/>
    <w:rsid w:val="007F5EED"/>
    <w:rsid w:val="007F69F5"/>
    <w:rsid w:val="00801485"/>
    <w:rsid w:val="00807ACE"/>
    <w:rsid w:val="00813497"/>
    <w:rsid w:val="00813D5D"/>
    <w:rsid w:val="00820883"/>
    <w:rsid w:val="00820A19"/>
    <w:rsid w:val="008274D8"/>
    <w:rsid w:val="00840CD3"/>
    <w:rsid w:val="00841132"/>
    <w:rsid w:val="00841EB3"/>
    <w:rsid w:val="00854934"/>
    <w:rsid w:val="0085704D"/>
    <w:rsid w:val="00866431"/>
    <w:rsid w:val="008770F1"/>
    <w:rsid w:val="00880388"/>
    <w:rsid w:val="008A5264"/>
    <w:rsid w:val="008B06F2"/>
    <w:rsid w:val="008B3E05"/>
    <w:rsid w:val="008B4E03"/>
    <w:rsid w:val="008B7D4B"/>
    <w:rsid w:val="008C2C24"/>
    <w:rsid w:val="008C58C8"/>
    <w:rsid w:val="008D682A"/>
    <w:rsid w:val="008E681D"/>
    <w:rsid w:val="008F1FAE"/>
    <w:rsid w:val="008F5A9F"/>
    <w:rsid w:val="008F6532"/>
    <w:rsid w:val="008F755D"/>
    <w:rsid w:val="009036E5"/>
    <w:rsid w:val="0090598A"/>
    <w:rsid w:val="009128E0"/>
    <w:rsid w:val="00912FA0"/>
    <w:rsid w:val="009144C1"/>
    <w:rsid w:val="00926766"/>
    <w:rsid w:val="00927E55"/>
    <w:rsid w:val="00927E90"/>
    <w:rsid w:val="00930441"/>
    <w:rsid w:val="00960A23"/>
    <w:rsid w:val="00970498"/>
    <w:rsid w:val="0097280B"/>
    <w:rsid w:val="00973675"/>
    <w:rsid w:val="00974ED3"/>
    <w:rsid w:val="0098093E"/>
    <w:rsid w:val="00983A9E"/>
    <w:rsid w:val="00993BD8"/>
    <w:rsid w:val="009A301D"/>
    <w:rsid w:val="009A323E"/>
    <w:rsid w:val="009A6FDD"/>
    <w:rsid w:val="009A7845"/>
    <w:rsid w:val="009B61C1"/>
    <w:rsid w:val="009B711F"/>
    <w:rsid w:val="009C0576"/>
    <w:rsid w:val="009E1177"/>
    <w:rsid w:val="009E1825"/>
    <w:rsid w:val="009E1B69"/>
    <w:rsid w:val="009E33CF"/>
    <w:rsid w:val="009E5E37"/>
    <w:rsid w:val="009E6279"/>
    <w:rsid w:val="009E66A3"/>
    <w:rsid w:val="00A11735"/>
    <w:rsid w:val="00A12A05"/>
    <w:rsid w:val="00A13883"/>
    <w:rsid w:val="00A16F9E"/>
    <w:rsid w:val="00A27FD6"/>
    <w:rsid w:val="00A3111C"/>
    <w:rsid w:val="00A32F4E"/>
    <w:rsid w:val="00A358FB"/>
    <w:rsid w:val="00A40D75"/>
    <w:rsid w:val="00A45E83"/>
    <w:rsid w:val="00A64A45"/>
    <w:rsid w:val="00A64F38"/>
    <w:rsid w:val="00A71A03"/>
    <w:rsid w:val="00A72C95"/>
    <w:rsid w:val="00A73CFE"/>
    <w:rsid w:val="00A74EC4"/>
    <w:rsid w:val="00A82F87"/>
    <w:rsid w:val="00A92829"/>
    <w:rsid w:val="00A9302B"/>
    <w:rsid w:val="00A94462"/>
    <w:rsid w:val="00AA4505"/>
    <w:rsid w:val="00AB0284"/>
    <w:rsid w:val="00AB1045"/>
    <w:rsid w:val="00AB1C6F"/>
    <w:rsid w:val="00AB2F7B"/>
    <w:rsid w:val="00AB4355"/>
    <w:rsid w:val="00AB6DBC"/>
    <w:rsid w:val="00AC54AB"/>
    <w:rsid w:val="00AD693F"/>
    <w:rsid w:val="00AE3198"/>
    <w:rsid w:val="00AE48D5"/>
    <w:rsid w:val="00AE5D8C"/>
    <w:rsid w:val="00AF0396"/>
    <w:rsid w:val="00AF0D78"/>
    <w:rsid w:val="00AF7D3D"/>
    <w:rsid w:val="00B007D7"/>
    <w:rsid w:val="00B0085A"/>
    <w:rsid w:val="00B031E1"/>
    <w:rsid w:val="00B04424"/>
    <w:rsid w:val="00B05896"/>
    <w:rsid w:val="00B10B37"/>
    <w:rsid w:val="00B10DC3"/>
    <w:rsid w:val="00B11952"/>
    <w:rsid w:val="00B21781"/>
    <w:rsid w:val="00B26108"/>
    <w:rsid w:val="00B35BEF"/>
    <w:rsid w:val="00B368CB"/>
    <w:rsid w:val="00B4399B"/>
    <w:rsid w:val="00B43D53"/>
    <w:rsid w:val="00B44A49"/>
    <w:rsid w:val="00B46DB6"/>
    <w:rsid w:val="00B52005"/>
    <w:rsid w:val="00B56A08"/>
    <w:rsid w:val="00B57072"/>
    <w:rsid w:val="00B727F1"/>
    <w:rsid w:val="00B728AF"/>
    <w:rsid w:val="00B77345"/>
    <w:rsid w:val="00B836F6"/>
    <w:rsid w:val="00B83918"/>
    <w:rsid w:val="00B83FDF"/>
    <w:rsid w:val="00B87247"/>
    <w:rsid w:val="00B90563"/>
    <w:rsid w:val="00B906E5"/>
    <w:rsid w:val="00B967F6"/>
    <w:rsid w:val="00BA3619"/>
    <w:rsid w:val="00BA4D2B"/>
    <w:rsid w:val="00BA6D26"/>
    <w:rsid w:val="00BA6E2B"/>
    <w:rsid w:val="00BC2245"/>
    <w:rsid w:val="00BD2A7C"/>
    <w:rsid w:val="00BD4449"/>
    <w:rsid w:val="00BD70B2"/>
    <w:rsid w:val="00BE0701"/>
    <w:rsid w:val="00BE0C75"/>
    <w:rsid w:val="00BE659F"/>
    <w:rsid w:val="00BF7A54"/>
    <w:rsid w:val="00C04A16"/>
    <w:rsid w:val="00C06A15"/>
    <w:rsid w:val="00C10453"/>
    <w:rsid w:val="00C1179A"/>
    <w:rsid w:val="00C13A1A"/>
    <w:rsid w:val="00C17301"/>
    <w:rsid w:val="00C226A6"/>
    <w:rsid w:val="00C22917"/>
    <w:rsid w:val="00C25A4D"/>
    <w:rsid w:val="00C3160F"/>
    <w:rsid w:val="00C42705"/>
    <w:rsid w:val="00C4551D"/>
    <w:rsid w:val="00C515EF"/>
    <w:rsid w:val="00C57952"/>
    <w:rsid w:val="00C6056F"/>
    <w:rsid w:val="00C7409A"/>
    <w:rsid w:val="00C81C8F"/>
    <w:rsid w:val="00C84545"/>
    <w:rsid w:val="00C857CF"/>
    <w:rsid w:val="00C93BDA"/>
    <w:rsid w:val="00C9558E"/>
    <w:rsid w:val="00C9620E"/>
    <w:rsid w:val="00CA2AC5"/>
    <w:rsid w:val="00CB1BAF"/>
    <w:rsid w:val="00CC7EFE"/>
    <w:rsid w:val="00CD317E"/>
    <w:rsid w:val="00CF46C1"/>
    <w:rsid w:val="00D00F91"/>
    <w:rsid w:val="00D01F2E"/>
    <w:rsid w:val="00D04268"/>
    <w:rsid w:val="00D07767"/>
    <w:rsid w:val="00D13404"/>
    <w:rsid w:val="00D22800"/>
    <w:rsid w:val="00D22AC3"/>
    <w:rsid w:val="00D27948"/>
    <w:rsid w:val="00D27C8D"/>
    <w:rsid w:val="00D3080E"/>
    <w:rsid w:val="00D4169C"/>
    <w:rsid w:val="00D42FEE"/>
    <w:rsid w:val="00D5046C"/>
    <w:rsid w:val="00D504FE"/>
    <w:rsid w:val="00D60B18"/>
    <w:rsid w:val="00D61F2A"/>
    <w:rsid w:val="00D62ABD"/>
    <w:rsid w:val="00D63BA0"/>
    <w:rsid w:val="00D644D5"/>
    <w:rsid w:val="00D6742E"/>
    <w:rsid w:val="00D7649B"/>
    <w:rsid w:val="00D76B05"/>
    <w:rsid w:val="00D82F86"/>
    <w:rsid w:val="00D83A81"/>
    <w:rsid w:val="00D87202"/>
    <w:rsid w:val="00D9149E"/>
    <w:rsid w:val="00D928C2"/>
    <w:rsid w:val="00D92B10"/>
    <w:rsid w:val="00D9383C"/>
    <w:rsid w:val="00D97C94"/>
    <w:rsid w:val="00DA37F4"/>
    <w:rsid w:val="00DA5153"/>
    <w:rsid w:val="00DA67DF"/>
    <w:rsid w:val="00DB0351"/>
    <w:rsid w:val="00DB0B18"/>
    <w:rsid w:val="00DB0F69"/>
    <w:rsid w:val="00DC13A3"/>
    <w:rsid w:val="00DC5B03"/>
    <w:rsid w:val="00DD133A"/>
    <w:rsid w:val="00DD3CEE"/>
    <w:rsid w:val="00DE01E7"/>
    <w:rsid w:val="00DF6F95"/>
    <w:rsid w:val="00E04EFF"/>
    <w:rsid w:val="00E14E1C"/>
    <w:rsid w:val="00E16EB9"/>
    <w:rsid w:val="00E249C9"/>
    <w:rsid w:val="00E33311"/>
    <w:rsid w:val="00E36EEA"/>
    <w:rsid w:val="00E378EB"/>
    <w:rsid w:val="00E4190F"/>
    <w:rsid w:val="00E53B8D"/>
    <w:rsid w:val="00E5429B"/>
    <w:rsid w:val="00E72001"/>
    <w:rsid w:val="00E7397E"/>
    <w:rsid w:val="00E8002E"/>
    <w:rsid w:val="00E87C83"/>
    <w:rsid w:val="00E90EFC"/>
    <w:rsid w:val="00EA0574"/>
    <w:rsid w:val="00EA2877"/>
    <w:rsid w:val="00EA3D3A"/>
    <w:rsid w:val="00EA584E"/>
    <w:rsid w:val="00EA5E9E"/>
    <w:rsid w:val="00EA6E59"/>
    <w:rsid w:val="00EB408D"/>
    <w:rsid w:val="00EB4D2F"/>
    <w:rsid w:val="00EB6318"/>
    <w:rsid w:val="00EC3567"/>
    <w:rsid w:val="00EC4221"/>
    <w:rsid w:val="00ED74E5"/>
    <w:rsid w:val="00ED7B28"/>
    <w:rsid w:val="00EE2437"/>
    <w:rsid w:val="00EF202E"/>
    <w:rsid w:val="00EF3D4E"/>
    <w:rsid w:val="00EF709B"/>
    <w:rsid w:val="00EF7ADA"/>
    <w:rsid w:val="00F061E7"/>
    <w:rsid w:val="00F1500C"/>
    <w:rsid w:val="00F1704E"/>
    <w:rsid w:val="00F22460"/>
    <w:rsid w:val="00F24F35"/>
    <w:rsid w:val="00F267D8"/>
    <w:rsid w:val="00F32F56"/>
    <w:rsid w:val="00F375E7"/>
    <w:rsid w:val="00F4372A"/>
    <w:rsid w:val="00F44DED"/>
    <w:rsid w:val="00F5375A"/>
    <w:rsid w:val="00F56646"/>
    <w:rsid w:val="00F614D6"/>
    <w:rsid w:val="00F64BDB"/>
    <w:rsid w:val="00F66510"/>
    <w:rsid w:val="00F66E54"/>
    <w:rsid w:val="00F81A10"/>
    <w:rsid w:val="00F90B0A"/>
    <w:rsid w:val="00F93FFC"/>
    <w:rsid w:val="00FA50A7"/>
    <w:rsid w:val="00FA71F5"/>
    <w:rsid w:val="00FB3ABF"/>
    <w:rsid w:val="00FB4329"/>
    <w:rsid w:val="00FB7777"/>
    <w:rsid w:val="00FC5393"/>
    <w:rsid w:val="00FD189D"/>
    <w:rsid w:val="00FE4D60"/>
    <w:rsid w:val="00FE7746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6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E9F6117F674625A4050B88D8E9CF445210590467D0DFAF8B71BA3T9D3O" TargetMode="External"/><Relationship Id="rId13" Type="http://schemas.openxmlformats.org/officeDocument/2006/relationships/hyperlink" Target="consultantplus://offline/ref=D5BE9F6117F674625A4050B88D8E9CF445210199427D0DFAF8B71BA3T9D3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BE9F6117F674625A4050B88D8E9CF4452106924F7D0DFAF8B71BA393782969ACEA1951C6F60ET4D7O" TargetMode="External"/><Relationship Id="rId12" Type="http://schemas.openxmlformats.org/officeDocument/2006/relationships/hyperlink" Target="consultantplus://offline/ref=D5BE9F6117F674625A4050B88D8E9CF445210398467D0DFAF8B71BA3T9D3O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E9F6117F674625A4050B88D8E9CF4452106924F7D0DFAF8B71BA393782969ACEA1951C6F60FT4D7O" TargetMode="External"/><Relationship Id="rId11" Type="http://schemas.openxmlformats.org/officeDocument/2006/relationships/hyperlink" Target="consultantplus://offline/ref=D5BE9F6117F674625A4050B88D8E9CF4452107944F7D0DFAF8B71BA3T9D3O" TargetMode="External"/><Relationship Id="rId5" Type="http://schemas.openxmlformats.org/officeDocument/2006/relationships/hyperlink" Target="consultantplus://offline/ref=D5BE9F6117F674625A4050B88D8E9CF445210799477D0DFAF8B71BA3T9D3O" TargetMode="External"/><Relationship Id="rId15" Type="http://schemas.openxmlformats.org/officeDocument/2006/relationships/hyperlink" Target="consultantplus://offline/ref=D5BE9F6117F674625A4050B88D8E9CF4452107964F7D0DFAF8B71BA393782969ACEA1951C6F50DT4D3O" TargetMode="External"/><Relationship Id="rId10" Type="http://schemas.openxmlformats.org/officeDocument/2006/relationships/hyperlink" Target="consultantplus://offline/ref=D5BE9F6117F674625A4050B88D8E9CF445210693427D0DFAF8B71BA3T9D3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5BE9F6117F674625A4050B88D8E9CF4412500914E7D0DFAF8B71BA3T9D3O" TargetMode="External"/><Relationship Id="rId9" Type="http://schemas.openxmlformats.org/officeDocument/2006/relationships/hyperlink" Target="consultantplus://offline/ref=D5BE9F6117F674625A4050B88D8E9CF445210693437D0DFAF8B71BA3T9D3O" TargetMode="External"/><Relationship Id="rId14" Type="http://schemas.openxmlformats.org/officeDocument/2006/relationships/hyperlink" Target="consultantplus://offline/ref=D5BE9F6117F674625A4050B88D8E9CF445220494477D0DFAF8B71BA3T9D3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3178</Words>
  <Characters>18118</Characters>
  <Application>Microsoft Office Word</Application>
  <DocSecurity>0</DocSecurity>
  <Lines>150</Lines>
  <Paragraphs>42</Paragraphs>
  <ScaleCrop>false</ScaleCrop>
  <Company/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Асу11</dc:creator>
  <cp:lastModifiedBy>Асу11</cp:lastModifiedBy>
  <cp:revision>1</cp:revision>
  <dcterms:created xsi:type="dcterms:W3CDTF">2019-04-02T10:40:00Z</dcterms:created>
  <dcterms:modified xsi:type="dcterms:W3CDTF">2019-04-02T10:41:00Z</dcterms:modified>
</cp:coreProperties>
</file>